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DD4B56" w:rsidRPr="007F39B3" w:rsidRDefault="00DD4B56" w:rsidP="00CE13B8">
      <w:pPr>
        <w:jc w:val="center"/>
        <w:rPr>
          <w:rFonts w:cs="Times New Roman"/>
          <w:b/>
          <w:sz w:val="28"/>
          <w:szCs w:val="28"/>
          <w:u w:val="single"/>
        </w:rPr>
      </w:pPr>
    </w:p>
    <w:p w:rsidR="00794A2A" w:rsidRDefault="00794A2A" w:rsidP="00ED38A6">
      <w:pPr>
        <w:widowControl/>
        <w:suppressAutoHyphens w:val="0"/>
        <w:autoSpaceDE w:val="0"/>
        <w:autoSpaceDN w:val="0"/>
        <w:adjustRightInd w:val="0"/>
        <w:jc w:val="center"/>
        <w:rPr>
          <w:rFonts w:eastAsia="Calibri" w:cs="Times New Roman"/>
          <w:b/>
          <w:bCs/>
          <w:kern w:val="0"/>
          <w:sz w:val="28"/>
          <w:szCs w:val="28"/>
          <w:lang w:eastAsia="en-US" w:bidi="ar-SA"/>
        </w:rPr>
      </w:pPr>
    </w:p>
    <w:p w:rsidR="002B41EE" w:rsidRDefault="002B41EE" w:rsidP="002B41EE">
      <w:pPr>
        <w:jc w:val="center"/>
        <w:rPr>
          <w:rFonts w:cs="Times New Roman"/>
          <w:b/>
          <w:sz w:val="28"/>
          <w:szCs w:val="28"/>
        </w:rPr>
      </w:pPr>
      <w:r>
        <w:rPr>
          <w:rFonts w:cs="Times New Roman"/>
          <w:b/>
          <w:sz w:val="28"/>
          <w:szCs w:val="28"/>
        </w:rPr>
        <w:t>Актуальные воп</w:t>
      </w:r>
      <w:r>
        <w:rPr>
          <w:rFonts w:cs="Times New Roman"/>
          <w:b/>
          <w:sz w:val="28"/>
          <w:szCs w:val="28"/>
        </w:rPr>
        <w:t>росы в сфере кадастровой оценки</w:t>
      </w:r>
    </w:p>
    <w:p w:rsidR="002B41EE" w:rsidRDefault="002B41EE" w:rsidP="002B41EE">
      <w:pPr>
        <w:jc w:val="center"/>
        <w:rPr>
          <w:rFonts w:cs="Times New Roman"/>
          <w:sz w:val="28"/>
          <w:szCs w:val="28"/>
        </w:rPr>
      </w:pPr>
    </w:p>
    <w:p w:rsidR="002B41EE" w:rsidRDefault="002B41EE" w:rsidP="002B41EE">
      <w:pPr>
        <w:ind w:firstLine="709"/>
        <w:jc w:val="both"/>
        <w:rPr>
          <w:rFonts w:eastAsia="Times New Roman" w:cs="Times New Roman"/>
          <w:sz w:val="28"/>
          <w:szCs w:val="28"/>
          <w:lang w:eastAsia="ru-RU"/>
        </w:rPr>
      </w:pPr>
      <w:r>
        <w:rPr>
          <w:rFonts w:eastAsia="Times New Roman" w:cs="Times New Roman"/>
          <w:sz w:val="28"/>
          <w:szCs w:val="28"/>
          <w:lang w:eastAsia="ru-RU"/>
        </w:rPr>
        <w:t>Сведения обо всех объектах недвижимости, включая земельные участки, вносятся в Единый государственный реестр недвижимости (ЕГРН). Порядок ведения реестра установлен Федеральным законом от 13.07.2015 № 218-ФЗ</w:t>
      </w:r>
      <w:r>
        <w:rPr>
          <w:rFonts w:eastAsia="Times New Roman" w:cs="Times New Roman"/>
          <w:sz w:val="28"/>
          <w:szCs w:val="28"/>
          <w:lang w:eastAsia="ru-RU"/>
        </w:rPr>
        <w:t xml:space="preserve">                </w:t>
      </w:r>
      <w:r>
        <w:rPr>
          <w:rFonts w:eastAsia="Times New Roman" w:cs="Times New Roman"/>
          <w:sz w:val="28"/>
          <w:szCs w:val="28"/>
          <w:lang w:eastAsia="ru-RU"/>
        </w:rPr>
        <w:t xml:space="preserve"> «О государственной регистрации недвижимости» и Порядком, утвержденным Приказом Минэкономразвития России от 16.12.2015 № 943.</w:t>
      </w:r>
    </w:p>
    <w:p w:rsidR="002B41EE" w:rsidRDefault="002B41EE" w:rsidP="002B41EE">
      <w:pPr>
        <w:ind w:firstLine="709"/>
        <w:jc w:val="both"/>
        <w:rPr>
          <w:rFonts w:eastAsia="Times New Roman" w:cs="Times New Roman"/>
          <w:sz w:val="28"/>
          <w:szCs w:val="28"/>
          <w:lang w:eastAsia="ru-RU"/>
        </w:rPr>
      </w:pPr>
      <w:r>
        <w:rPr>
          <w:rFonts w:eastAsia="Times New Roman" w:cs="Times New Roman"/>
          <w:sz w:val="28"/>
          <w:szCs w:val="28"/>
          <w:lang w:eastAsia="ru-RU"/>
        </w:rPr>
        <w:t>В числе прочего в ЕГРН указывается стоимость объекта, определенная по результатам государственной кадастровой оценки – кадастровая стоимость, от величины которой зависит, например, размер уплачиваемого гражданами земельного налога и налога на имущество.</w:t>
      </w:r>
    </w:p>
    <w:p w:rsidR="002B41EE" w:rsidRDefault="002B41EE" w:rsidP="002B41EE">
      <w:pPr>
        <w:ind w:firstLine="709"/>
        <w:jc w:val="both"/>
        <w:rPr>
          <w:rFonts w:eastAsia="Times New Roman" w:cs="Times New Roman"/>
          <w:sz w:val="28"/>
          <w:szCs w:val="28"/>
          <w:lang w:eastAsia="ru-RU"/>
        </w:rPr>
      </w:pPr>
      <w:r>
        <w:rPr>
          <w:rFonts w:eastAsia="Times New Roman" w:cs="Times New Roman"/>
          <w:sz w:val="28"/>
          <w:szCs w:val="28"/>
          <w:lang w:eastAsia="ru-RU"/>
        </w:rPr>
        <w:t>Государственная кадастровая оценка во Владимирской области до 2018 года проводилась в соотве</w:t>
      </w:r>
      <w:r>
        <w:rPr>
          <w:rFonts w:eastAsia="Times New Roman" w:cs="Times New Roman"/>
          <w:sz w:val="28"/>
          <w:szCs w:val="28"/>
          <w:lang w:eastAsia="ru-RU"/>
        </w:rPr>
        <w:t>тствии с положениями главы III</w:t>
      </w:r>
      <w:r>
        <w:rPr>
          <w:rFonts w:eastAsia="Times New Roman" w:cs="Times New Roman"/>
          <w:sz w:val="28"/>
          <w:szCs w:val="28"/>
          <w:lang w:eastAsia="ru-RU"/>
        </w:rPr>
        <w:t xml:space="preserve"> Федерального закона  от 29.07.1998 № 135-ФЗ «Об оценочной деятельности в Российской Федерации». Последняя государственная кадастровая оценка земель населенных пунктов прошла в 2016 году, и результаты действуют с 1 января 2017 года, объектов капитального строительства (домов и квартир) – в 2015 году, её результаты действуют с 01 января 2016 года. </w:t>
      </w:r>
    </w:p>
    <w:p w:rsidR="002B41EE" w:rsidRDefault="002B41EE" w:rsidP="002B41EE">
      <w:pPr>
        <w:ind w:firstLine="709"/>
        <w:jc w:val="both"/>
        <w:rPr>
          <w:rFonts w:eastAsia="Times New Roman" w:cs="Times New Roman"/>
          <w:sz w:val="28"/>
          <w:szCs w:val="28"/>
          <w:lang w:eastAsia="ru-RU"/>
        </w:rPr>
      </w:pPr>
      <w:r>
        <w:rPr>
          <w:rFonts w:eastAsia="Times New Roman" w:cs="Times New Roman"/>
          <w:sz w:val="28"/>
          <w:szCs w:val="28"/>
          <w:lang w:eastAsia="ru-RU"/>
        </w:rPr>
        <w:t>Предполагается, что кадастровая стоимость, определенная посредством государственной кадастровой оценки, совпадает с рыночной стоимостью, однако часто это не так. Кадастровая стоимость определяется методом массовой оценки без учета уникальных характеристик конкретного объекта недвижимости. Вследствие этого кадастровая стоимость объекта недвижимости может отличаться от его реальной рыночной стоимости, как в большую, так и в меньшую сторону.</w:t>
      </w:r>
    </w:p>
    <w:p w:rsidR="002B41EE" w:rsidRDefault="002B41EE" w:rsidP="002B41EE">
      <w:pPr>
        <w:pStyle w:val="Default"/>
        <w:ind w:firstLine="709"/>
        <w:jc w:val="both"/>
        <w:rPr>
          <w:rFonts w:ascii="Times New Roman" w:hAnsi="Times New Roman" w:cs="Times New Roman"/>
          <w:sz w:val="28"/>
          <w:szCs w:val="28"/>
        </w:rPr>
      </w:pPr>
      <w:r>
        <w:rPr>
          <w:rFonts w:ascii="Times New Roman" w:hAnsi="Times New Roman" w:cs="Times New Roman"/>
          <w:sz w:val="28"/>
          <w:szCs w:val="28"/>
        </w:rPr>
        <w:t>С января 2017 год вступил в силу Федеральный закон</w:t>
      </w:r>
      <w:r>
        <w:rPr>
          <w:rFonts w:ascii="Times New Roman" w:hAnsi="Times New Roman" w:cs="Times New Roman"/>
          <w:sz w:val="28"/>
          <w:szCs w:val="16"/>
        </w:rPr>
        <w:t xml:space="preserve"> от 03.07.2016 </w:t>
      </w:r>
      <w:r w:rsidR="00800E11">
        <w:rPr>
          <w:rFonts w:ascii="Times New Roman" w:hAnsi="Times New Roman" w:cs="Times New Roman"/>
          <w:sz w:val="28"/>
          <w:szCs w:val="16"/>
        </w:rPr>
        <w:t xml:space="preserve">          </w:t>
      </w:r>
      <w:r>
        <w:rPr>
          <w:rFonts w:ascii="Times New Roman" w:hAnsi="Times New Roman" w:cs="Times New Roman"/>
          <w:sz w:val="28"/>
          <w:szCs w:val="16"/>
        </w:rPr>
        <w:t>№ 237-ФЗ «О государственной кадастровой оценке»</w:t>
      </w:r>
      <w:r>
        <w:rPr>
          <w:rFonts w:ascii="Times New Roman" w:hAnsi="Times New Roman" w:cs="Times New Roman"/>
          <w:sz w:val="28"/>
          <w:szCs w:val="28"/>
        </w:rPr>
        <w:t xml:space="preserve">, согласно которому оценка земли и находящихся на ней объектов капитального строительства будет осуществляться бюджетными учреждениями под контролем органов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До этого оценку проводили независимые коммерческие компании, что часто создавало спорные ситуации. </w:t>
      </w:r>
    </w:p>
    <w:p w:rsidR="002B41EE" w:rsidRDefault="002B41EE" w:rsidP="002B41EE">
      <w:pPr>
        <w:ind w:firstLine="709"/>
        <w:jc w:val="both"/>
        <w:rPr>
          <w:rFonts w:cs="Times New Roman"/>
          <w:sz w:val="28"/>
          <w:szCs w:val="16"/>
        </w:rPr>
      </w:pPr>
      <w:r>
        <w:rPr>
          <w:rFonts w:cs="Times New Roman"/>
          <w:sz w:val="28"/>
          <w:szCs w:val="16"/>
        </w:rPr>
        <w:t xml:space="preserve">На территории Владимирской области в феврале 2018 года  создано новое учреждение - </w:t>
      </w:r>
      <w:r>
        <w:rPr>
          <w:rFonts w:cs="Times New Roman"/>
          <w:sz w:val="28"/>
          <w:szCs w:val="28"/>
        </w:rPr>
        <w:t>ГБУ ВО «Центр государственной кадастровой оценки»</w:t>
      </w:r>
      <w:r>
        <w:rPr>
          <w:rFonts w:cs="Times New Roman"/>
          <w:sz w:val="28"/>
          <w:szCs w:val="16"/>
        </w:rPr>
        <w:t xml:space="preserve"> и с</w:t>
      </w:r>
      <w:r>
        <w:rPr>
          <w:rFonts w:cs="Times New Roman"/>
          <w:sz w:val="28"/>
          <w:szCs w:val="28"/>
        </w:rPr>
        <w:t xml:space="preserve"> 10 августа 2018 года Владимирская область также перешла на проведение </w:t>
      </w:r>
      <w:r>
        <w:rPr>
          <w:rFonts w:cs="Times New Roman"/>
          <w:sz w:val="28"/>
          <w:szCs w:val="28"/>
        </w:rPr>
        <w:lastRenderedPageBreak/>
        <w:t>государственной кадастровой оценки по новым правилам</w:t>
      </w:r>
      <w:r>
        <w:rPr>
          <w:rFonts w:cs="Times New Roman"/>
          <w:sz w:val="28"/>
          <w:szCs w:val="16"/>
        </w:rPr>
        <w:t xml:space="preserve"> (постановление администрации Владимирской области от 02.08.2018 № 583 «О дате перехода к проведению государственной кадастровой оценки в соответствии с Федеральным законом от 03.07.2016 № 237-ФЗ «О государственной кадастровой оценке»)</w:t>
      </w:r>
      <w:r>
        <w:rPr>
          <w:rFonts w:cs="Times New Roman"/>
          <w:sz w:val="28"/>
          <w:szCs w:val="28"/>
        </w:rPr>
        <w:t>.</w:t>
      </w:r>
    </w:p>
    <w:p w:rsidR="002B41EE" w:rsidRDefault="002B41EE" w:rsidP="002B41EE">
      <w:pPr>
        <w:ind w:firstLine="709"/>
        <w:jc w:val="both"/>
        <w:rPr>
          <w:rFonts w:cs="Times New Roman"/>
          <w:sz w:val="28"/>
          <w:szCs w:val="28"/>
          <w:lang w:eastAsia="ru-RU"/>
        </w:rPr>
      </w:pPr>
      <w:r>
        <w:rPr>
          <w:rFonts w:cs="Times New Roman"/>
          <w:sz w:val="28"/>
          <w:szCs w:val="16"/>
        </w:rPr>
        <w:t xml:space="preserve">Государственная кадастровая оценка теперь будет проводиться по решению исполнительного органа государственной власти субъекта Российской Федерации </w:t>
      </w:r>
      <w:r>
        <w:rPr>
          <w:rFonts w:cs="Times New Roman"/>
          <w:sz w:val="28"/>
          <w:szCs w:val="28"/>
          <w:lang w:eastAsia="ru-RU"/>
        </w:rPr>
        <w:t>не чаще одного раза в три года и не реже одного раза в пять лет, за исключением проведения внеочередной государственной кадастровой оценки. Указанный срок определяется со дня принятия акта об утверждении результатов определения кадастровой стоимости до дня принятия акта об утверждении следующих результатов определения кадастровой стоимости.</w:t>
      </w:r>
    </w:p>
    <w:p w:rsidR="002B41EE" w:rsidRDefault="002B41EE" w:rsidP="002B41EE">
      <w:pPr>
        <w:ind w:firstLine="709"/>
        <w:jc w:val="both"/>
        <w:rPr>
          <w:rFonts w:cs="Times New Roman"/>
          <w:sz w:val="28"/>
          <w:szCs w:val="28"/>
          <w:lang w:eastAsia="ru-RU"/>
        </w:rPr>
      </w:pPr>
      <w:r>
        <w:rPr>
          <w:rFonts w:cs="Times New Roman"/>
          <w:sz w:val="28"/>
          <w:szCs w:val="28"/>
          <w:lang w:eastAsia="ru-RU"/>
        </w:rPr>
        <w:t xml:space="preserve">На официальном сайте Департамента имущественных и земельных отношении администрации Владимирской области (https://dio.avo.ru/)                        в разделе «Новости, Информация» размещено извещение о проведении  в 2019 году очередной государственной кадастровой оценки </w:t>
      </w:r>
      <w:r>
        <w:rPr>
          <w:rFonts w:cs="Times New Roman"/>
          <w:sz w:val="28"/>
          <w:szCs w:val="28"/>
        </w:rPr>
        <w:t xml:space="preserve">земельных участков категорий земель: </w:t>
      </w:r>
    </w:p>
    <w:p w:rsidR="002B41EE" w:rsidRDefault="002B41EE" w:rsidP="002B41EE">
      <w:pPr>
        <w:ind w:firstLine="709"/>
        <w:jc w:val="both"/>
        <w:rPr>
          <w:rFonts w:cs="Times New Roman"/>
          <w:sz w:val="28"/>
          <w:szCs w:val="28"/>
          <w:lang w:eastAsia="en-US"/>
        </w:rPr>
      </w:pPr>
      <w:r>
        <w:rPr>
          <w:rFonts w:cs="Times New Roman"/>
          <w:sz w:val="28"/>
          <w:szCs w:val="28"/>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2B41EE" w:rsidRDefault="002B41EE" w:rsidP="002B41EE">
      <w:pPr>
        <w:ind w:firstLine="709"/>
        <w:jc w:val="both"/>
        <w:rPr>
          <w:rFonts w:cs="Times New Roman"/>
          <w:sz w:val="28"/>
          <w:szCs w:val="28"/>
        </w:rPr>
      </w:pPr>
      <w:r>
        <w:rPr>
          <w:rFonts w:cs="Times New Roman"/>
          <w:sz w:val="28"/>
          <w:szCs w:val="28"/>
        </w:rPr>
        <w:t xml:space="preserve">- земли особо охраняемых территорий и объектов; </w:t>
      </w:r>
    </w:p>
    <w:p w:rsidR="002B41EE" w:rsidRDefault="002B41EE" w:rsidP="002B41EE">
      <w:pPr>
        <w:ind w:firstLine="709"/>
        <w:jc w:val="both"/>
        <w:rPr>
          <w:rFonts w:cs="Times New Roman"/>
          <w:sz w:val="28"/>
          <w:szCs w:val="28"/>
        </w:rPr>
      </w:pPr>
      <w:r>
        <w:rPr>
          <w:rFonts w:cs="Times New Roman"/>
          <w:sz w:val="28"/>
          <w:szCs w:val="28"/>
        </w:rPr>
        <w:t>- земли сельскохозяйственного назначения.</w:t>
      </w:r>
    </w:p>
    <w:p w:rsidR="002B41EE" w:rsidRDefault="002B41EE" w:rsidP="002B41EE">
      <w:pPr>
        <w:ind w:firstLine="709"/>
        <w:jc w:val="both"/>
        <w:rPr>
          <w:rFonts w:cs="Times New Roman"/>
          <w:sz w:val="28"/>
          <w:szCs w:val="28"/>
        </w:rPr>
      </w:pPr>
      <w:r>
        <w:rPr>
          <w:rFonts w:eastAsia="Times New Roman" w:cs="Times New Roman"/>
          <w:sz w:val="28"/>
          <w:szCs w:val="28"/>
          <w:lang w:eastAsia="ru-RU"/>
        </w:rPr>
        <w:t>Подготовка к проведению государственной кадастровой оценки осуществляется до 1 января 2019 года. В рамках подготовительного этапа к проведению государственной кадастровой оценки в целях сбора и обработки информации, необходимой для определения кадастровой стоимости, ГБУ ВО «Центр государственной кадастровой оценки» осуществляет прием деклараций о характеристиках земельных участков от правообладателей соответствующих земельных участков.</w:t>
      </w:r>
    </w:p>
    <w:p w:rsidR="002B41EE" w:rsidRDefault="002B41EE" w:rsidP="002B41EE">
      <w:pPr>
        <w:ind w:firstLine="709"/>
        <w:jc w:val="both"/>
        <w:rPr>
          <w:rFonts w:cs="Times New Roman"/>
          <w:sz w:val="28"/>
          <w:szCs w:val="28"/>
        </w:rPr>
      </w:pPr>
      <w:r>
        <w:rPr>
          <w:rFonts w:eastAsia="Times New Roman" w:cs="Times New Roman"/>
          <w:sz w:val="28"/>
          <w:szCs w:val="28"/>
          <w:lang w:eastAsia="ru-RU"/>
        </w:rPr>
        <w:t>Для сбора и обработки указанной информации правообладатели земельных участков вправе предоставить в ГБУ ВО «Центр государственной кадастровой оценки» декларации о характеристиках соответствующих земельных участков, в том числе по уточнению основных, количественных и качественных характеристик объектов оценки: вида разрешенного использования, описания местоположения, площади, фактического использования, удаленности земельного участка, иных факторов, влияющих на кадастровую оценку объекта недвижимости в бумажном виде.</w:t>
      </w:r>
    </w:p>
    <w:p w:rsidR="002B41EE" w:rsidRDefault="002B41EE" w:rsidP="002B41EE">
      <w:pPr>
        <w:ind w:firstLine="709"/>
        <w:jc w:val="both"/>
        <w:rPr>
          <w:rFonts w:cs="Times New Roman"/>
          <w:sz w:val="28"/>
          <w:szCs w:val="28"/>
        </w:rPr>
      </w:pPr>
      <w:r>
        <w:rPr>
          <w:rFonts w:eastAsia="Times New Roman" w:cs="Times New Roman"/>
          <w:sz w:val="28"/>
          <w:szCs w:val="28"/>
          <w:lang w:eastAsia="ru-RU"/>
        </w:rPr>
        <w:t>Форма декларации о характеристиках объектов недвижимости и порядок ее рассмотрения утверждены приказом Минэкономразвития России от 27.12.2016 №846 «Об утверждении порядка рассмотрения декларации о характеристиках объекта недвижимости, в том числе ее формы».</w:t>
      </w:r>
    </w:p>
    <w:p w:rsidR="002B41EE" w:rsidRDefault="002B41EE" w:rsidP="002B41EE">
      <w:pPr>
        <w:ind w:firstLine="709"/>
        <w:jc w:val="both"/>
        <w:rPr>
          <w:rFonts w:eastAsia="Times New Roman" w:cs="Times New Roman"/>
          <w:bCs/>
          <w:sz w:val="28"/>
          <w:szCs w:val="28"/>
          <w:shd w:val="clear" w:color="auto" w:fill="FFFFFF"/>
          <w:lang w:eastAsia="ru-RU"/>
        </w:rPr>
      </w:pPr>
      <w:r>
        <w:rPr>
          <w:rFonts w:eastAsia="Times New Roman" w:cs="Times New Roman"/>
          <w:sz w:val="28"/>
          <w:szCs w:val="28"/>
          <w:lang w:eastAsia="ru-RU"/>
        </w:rPr>
        <w:t>Прием деклараций о характеристиках объектов недвижимости осуществляется:</w:t>
      </w:r>
      <w:r>
        <w:rPr>
          <w:rFonts w:cs="Times New Roman"/>
          <w:sz w:val="28"/>
          <w:szCs w:val="28"/>
        </w:rPr>
        <w:t xml:space="preserve"> </w:t>
      </w:r>
      <w:r>
        <w:rPr>
          <w:rFonts w:eastAsia="Times New Roman" w:cs="Times New Roman"/>
          <w:sz w:val="28"/>
          <w:szCs w:val="28"/>
          <w:lang w:eastAsia="ru-RU"/>
        </w:rPr>
        <w:t xml:space="preserve">на бумажном носителе по адресу: </w:t>
      </w:r>
      <w:r>
        <w:rPr>
          <w:rFonts w:eastAsia="Times New Roman" w:cs="Times New Roman"/>
          <w:sz w:val="28"/>
          <w:szCs w:val="28"/>
          <w:shd w:val="clear" w:color="auto" w:fill="FFFFFF"/>
          <w:lang w:eastAsia="ru-RU"/>
        </w:rPr>
        <w:t xml:space="preserve">600017, г. Владимир, ул. </w:t>
      </w:r>
      <w:r>
        <w:rPr>
          <w:rFonts w:eastAsia="Times New Roman" w:cs="Times New Roman"/>
          <w:sz w:val="28"/>
          <w:szCs w:val="28"/>
          <w:shd w:val="clear" w:color="auto" w:fill="FFFFFF"/>
          <w:lang w:eastAsia="ru-RU"/>
        </w:rPr>
        <w:lastRenderedPageBreak/>
        <w:t>Луначарского, д. 3</w:t>
      </w:r>
      <w:r>
        <w:rPr>
          <w:rFonts w:eastAsia="Times New Roman" w:cs="Times New Roman"/>
          <w:sz w:val="28"/>
          <w:szCs w:val="28"/>
          <w:lang w:eastAsia="ru-RU"/>
        </w:rPr>
        <w:t xml:space="preserve">, телефон (4922) 47-04-11, 47-04-12. </w:t>
      </w:r>
      <w:r>
        <w:rPr>
          <w:rFonts w:eastAsia="Times New Roman" w:cs="Times New Roman"/>
          <w:bCs/>
          <w:sz w:val="28"/>
          <w:szCs w:val="28"/>
          <w:shd w:val="clear" w:color="auto" w:fill="FFFFFF"/>
          <w:lang w:eastAsia="ru-RU"/>
        </w:rPr>
        <w:t xml:space="preserve">Директор – </w:t>
      </w:r>
      <w:proofErr w:type="spellStart"/>
      <w:r>
        <w:rPr>
          <w:rFonts w:eastAsia="Times New Roman" w:cs="Times New Roman"/>
          <w:bCs/>
          <w:sz w:val="28"/>
          <w:szCs w:val="28"/>
          <w:shd w:val="clear" w:color="auto" w:fill="FFFFFF"/>
          <w:lang w:eastAsia="ru-RU"/>
        </w:rPr>
        <w:t>Гольцев</w:t>
      </w:r>
      <w:proofErr w:type="spellEnd"/>
      <w:r>
        <w:rPr>
          <w:rFonts w:eastAsia="Times New Roman" w:cs="Times New Roman"/>
          <w:bCs/>
          <w:sz w:val="28"/>
          <w:szCs w:val="28"/>
          <w:shd w:val="clear" w:color="auto" w:fill="FFFFFF"/>
          <w:lang w:eastAsia="ru-RU"/>
        </w:rPr>
        <w:t xml:space="preserve"> Владислав Анатольевич.</w:t>
      </w:r>
    </w:p>
    <w:p w:rsidR="00800E11" w:rsidRPr="00800E11" w:rsidRDefault="00800E11" w:rsidP="00800E11">
      <w:pPr>
        <w:jc w:val="both"/>
        <w:rPr>
          <w:rFonts w:eastAsia="Times New Roman" w:cs="Times New Roman"/>
          <w:bCs/>
          <w:i/>
          <w:sz w:val="28"/>
          <w:szCs w:val="28"/>
          <w:shd w:val="clear" w:color="auto" w:fill="FFFFFF"/>
          <w:lang w:eastAsia="ru-RU"/>
        </w:rPr>
      </w:pPr>
      <w:bookmarkStart w:id="0" w:name="_GoBack"/>
      <w:bookmarkEnd w:id="0"/>
    </w:p>
    <w:p w:rsidR="00800E11" w:rsidRPr="00800E11" w:rsidRDefault="00800E11" w:rsidP="00800E11">
      <w:pPr>
        <w:ind w:firstLine="709"/>
        <w:jc w:val="right"/>
        <w:rPr>
          <w:rFonts w:cs="Times New Roman"/>
          <w:i/>
          <w:sz w:val="28"/>
          <w:szCs w:val="28"/>
        </w:rPr>
      </w:pPr>
      <w:r w:rsidRPr="00800E11">
        <w:rPr>
          <w:rFonts w:eastAsia="Times New Roman" w:cs="Times New Roman"/>
          <w:bCs/>
          <w:i/>
          <w:sz w:val="28"/>
          <w:szCs w:val="28"/>
          <w:shd w:val="clear" w:color="auto" w:fill="FFFFFF"/>
          <w:lang w:eastAsia="ru-RU"/>
        </w:rPr>
        <w:t xml:space="preserve">Отдел землеустройства, мониторинга земель и кадастровой оценки недвижимости Управления </w:t>
      </w:r>
      <w:proofErr w:type="spellStart"/>
      <w:r w:rsidRPr="00800E11">
        <w:rPr>
          <w:rFonts w:eastAsia="Times New Roman" w:cs="Times New Roman"/>
          <w:bCs/>
          <w:i/>
          <w:sz w:val="28"/>
          <w:szCs w:val="28"/>
          <w:shd w:val="clear" w:color="auto" w:fill="FFFFFF"/>
          <w:lang w:eastAsia="ru-RU"/>
        </w:rPr>
        <w:t>Росреестра</w:t>
      </w:r>
      <w:proofErr w:type="spellEnd"/>
      <w:r w:rsidRPr="00800E11">
        <w:rPr>
          <w:rFonts w:eastAsia="Times New Roman" w:cs="Times New Roman"/>
          <w:bCs/>
          <w:i/>
          <w:sz w:val="28"/>
          <w:szCs w:val="28"/>
          <w:shd w:val="clear" w:color="auto" w:fill="FFFFFF"/>
          <w:lang w:eastAsia="ru-RU"/>
        </w:rPr>
        <w:t xml:space="preserve"> по Владимирской области </w:t>
      </w:r>
    </w:p>
    <w:p w:rsidR="00E17A52" w:rsidRDefault="00800E11" w:rsidP="00611C37">
      <w:pPr>
        <w:ind w:firstLine="709"/>
        <w:jc w:val="both"/>
        <w:rPr>
          <w:rFonts w:ascii="Segoe UI" w:hAnsi="Segoe UI" w:cs="Segoe UI"/>
          <w:b/>
          <w:noProof/>
          <w:color w:val="0070C0"/>
          <w:lang w:eastAsia="sk-SK"/>
        </w:rPr>
      </w:pPr>
      <w:r>
        <w:rPr>
          <w:rFonts w:ascii="Segoe UI" w:hAnsi="Segoe UI" w:cs="Segoe UI"/>
          <w:b/>
          <w:noProof/>
          <w:color w:val="0070C0"/>
          <w:lang w:eastAsia="ru-RU" w:bidi="ar-SA"/>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95pt;margin-top:3.85pt;width:472.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 Росреестре</w:t>
      </w:r>
    </w:p>
    <w:p w:rsidR="00E17A52" w:rsidRPr="00E4213D" w:rsidRDefault="00E17A52" w:rsidP="00E17A52">
      <w:pPr>
        <w:jc w:val="both"/>
        <w:rPr>
          <w:rFonts w:ascii="Segoe UI" w:hAnsi="Segoe UI" w:cs="Segoe UI"/>
          <w:noProof/>
          <w:sz w:val="10"/>
          <w:szCs w:val="10"/>
          <w:lang w:eastAsia="sk-SK"/>
        </w:rPr>
      </w:pPr>
    </w:p>
    <w:p w:rsidR="0047481B" w:rsidRPr="00E4213D" w:rsidRDefault="00E17A52" w:rsidP="0047481B">
      <w:pPr>
        <w:jc w:val="both"/>
        <w:rPr>
          <w:rFonts w:ascii="Segoe UI" w:hAnsi="Segoe UI" w:cs="Segoe UI"/>
          <w:sz w:val="18"/>
          <w:szCs w:val="18"/>
        </w:rPr>
      </w:pPr>
      <w:r w:rsidRPr="00E4213D">
        <w:rPr>
          <w:rFonts w:ascii="Segoe UI" w:hAnsi="Segoe UI" w:cs="Segoe UI"/>
          <w:sz w:val="18"/>
          <w:szCs w:val="18"/>
        </w:rPr>
        <w:t>Федеральная служба государственной регистрации, кадастра и картографии (</w:t>
      </w:r>
      <w:proofErr w:type="spellStart"/>
      <w:r w:rsidRPr="00E4213D">
        <w:rPr>
          <w:rFonts w:ascii="Segoe UI" w:hAnsi="Segoe UI" w:cs="Segoe UI"/>
          <w:sz w:val="18"/>
          <w:szCs w:val="18"/>
        </w:rPr>
        <w:t>Росреестр</w:t>
      </w:r>
      <w:proofErr w:type="spellEnd"/>
      <w:r w:rsidRPr="00E4213D">
        <w:rPr>
          <w:rFonts w:ascii="Segoe UI" w:hAnsi="Segoe UI" w:cs="Segoe UI"/>
          <w:sz w:val="18"/>
          <w:szCs w:val="18"/>
        </w:rPr>
        <w:t>)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w:t>
      </w:r>
      <w:proofErr w:type="spellStart"/>
      <w:r w:rsidRPr="00E4213D">
        <w:rPr>
          <w:rFonts w:ascii="Segoe UI" w:hAnsi="Segoe UI" w:cs="Segoe UI"/>
          <w:sz w:val="18"/>
          <w:szCs w:val="18"/>
        </w:rPr>
        <w:t>Ростехинвентаризация</w:t>
      </w:r>
      <w:proofErr w:type="spellEnd"/>
      <w:r w:rsidRPr="00E4213D">
        <w:rPr>
          <w:rFonts w:ascii="Segoe UI" w:hAnsi="Segoe UI" w:cs="Segoe UI"/>
          <w:sz w:val="18"/>
          <w:szCs w:val="18"/>
        </w:rPr>
        <w:t xml:space="preserve"> – Федеральное БТИ». </w:t>
      </w:r>
      <w:r w:rsidR="0047481B">
        <w:rPr>
          <w:rFonts w:ascii="Segoe UI" w:hAnsi="Segoe UI" w:cs="Segoe UI"/>
          <w:sz w:val="18"/>
          <w:szCs w:val="18"/>
        </w:rPr>
        <w:t>13 октября 2016</w:t>
      </w:r>
      <w:r w:rsidR="0047481B" w:rsidRPr="00E4213D">
        <w:rPr>
          <w:rFonts w:ascii="Segoe UI" w:hAnsi="Segoe UI" w:cs="Segoe UI"/>
          <w:sz w:val="18"/>
          <w:szCs w:val="18"/>
        </w:rPr>
        <w:t xml:space="preserve"> года руководителем </w:t>
      </w:r>
      <w:proofErr w:type="spellStart"/>
      <w:r w:rsidR="0047481B" w:rsidRPr="00E4213D">
        <w:rPr>
          <w:rFonts w:ascii="Segoe UI" w:hAnsi="Segoe UI" w:cs="Segoe UI"/>
          <w:sz w:val="18"/>
          <w:szCs w:val="18"/>
        </w:rPr>
        <w:t>Росреестра</w:t>
      </w:r>
      <w:proofErr w:type="spellEnd"/>
      <w:r w:rsidR="00C2000B">
        <w:rPr>
          <w:rFonts w:ascii="Segoe UI" w:hAnsi="Segoe UI" w:cs="Segoe UI"/>
          <w:sz w:val="18"/>
          <w:szCs w:val="18"/>
        </w:rPr>
        <w:t xml:space="preserve"> </w:t>
      </w:r>
      <w:r w:rsidR="0047481B" w:rsidRPr="00E4213D">
        <w:rPr>
          <w:rFonts w:ascii="Segoe UI" w:hAnsi="Segoe UI" w:cs="Segoe UI"/>
          <w:sz w:val="18"/>
          <w:szCs w:val="18"/>
        </w:rPr>
        <w:t>назначен</w:t>
      </w:r>
      <w:r w:rsidR="0047481B">
        <w:rPr>
          <w:rFonts w:ascii="Segoe UI" w:hAnsi="Segoe UI" w:cs="Segoe UI"/>
          <w:sz w:val="18"/>
          <w:szCs w:val="18"/>
        </w:rPr>
        <w:t xml:space="preserve">а В.В. </w:t>
      </w:r>
      <w:proofErr w:type="spellStart"/>
      <w:r w:rsidR="0047481B">
        <w:rPr>
          <w:rFonts w:ascii="Segoe UI" w:hAnsi="Segoe UI" w:cs="Segoe UI"/>
          <w:sz w:val="18"/>
          <w:szCs w:val="18"/>
        </w:rPr>
        <w:t>Абрамченко</w:t>
      </w:r>
      <w:proofErr w:type="spellEnd"/>
      <w:r w:rsidR="0047481B" w:rsidRPr="00E4213D">
        <w:rPr>
          <w:rFonts w:ascii="Segoe UI" w:hAnsi="Segoe UI" w:cs="Segoe UI"/>
          <w:sz w:val="18"/>
          <w:szCs w:val="18"/>
        </w:rPr>
        <w:t>.</w:t>
      </w: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C03932" w:rsidRPr="009027D3"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Управление Росреестра по Владимирской области</w:t>
      </w:r>
    </w:p>
    <w:p w:rsidR="00C03932" w:rsidRPr="009027D3"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г. Владимир, ул. Офицерская</w:t>
      </w:r>
      <w:r w:rsidR="00D91EE2" w:rsidRPr="009027D3">
        <w:rPr>
          <w:rFonts w:ascii="Segoe UI" w:eastAsia="Calibri" w:hAnsi="Segoe UI" w:cs="Segoe UI"/>
          <w:sz w:val="18"/>
          <w:szCs w:val="18"/>
          <w:lang w:eastAsia="en-US"/>
        </w:rPr>
        <w:t>, д.</w:t>
      </w:r>
      <w:r w:rsidRPr="009027D3">
        <w:rPr>
          <w:rFonts w:ascii="Segoe UI" w:eastAsia="Calibri" w:hAnsi="Segoe UI" w:cs="Segoe UI"/>
          <w:sz w:val="18"/>
          <w:szCs w:val="18"/>
          <w:lang w:eastAsia="en-US"/>
        </w:rPr>
        <w:t xml:space="preserve"> 33</w:t>
      </w:r>
      <w:r w:rsidR="00D91EE2" w:rsidRPr="009027D3">
        <w:rPr>
          <w:rFonts w:ascii="Segoe UI" w:eastAsia="Calibri" w:hAnsi="Segoe UI" w:cs="Segoe UI"/>
          <w:sz w:val="18"/>
          <w:szCs w:val="18"/>
          <w:lang w:eastAsia="en-US"/>
        </w:rPr>
        <w:t>-</w:t>
      </w:r>
      <w:r w:rsidRPr="009027D3">
        <w:rPr>
          <w:rFonts w:ascii="Segoe UI" w:eastAsia="Calibri" w:hAnsi="Segoe UI" w:cs="Segoe UI"/>
          <w:sz w:val="18"/>
          <w:szCs w:val="18"/>
          <w:lang w:eastAsia="en-US"/>
        </w:rPr>
        <w:t>а</w:t>
      </w:r>
    </w:p>
    <w:p w:rsidR="00C03932" w:rsidRPr="009027D3"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Баринов Валерий Юрьевич </w:t>
      </w:r>
    </w:p>
    <w:p w:rsidR="00C03932" w:rsidRPr="009027D3" w:rsidRDefault="004D0655"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Начальник</w:t>
      </w:r>
      <w:r w:rsidR="00C03932" w:rsidRPr="009027D3">
        <w:rPr>
          <w:rFonts w:ascii="Segoe UI" w:eastAsia="Calibri" w:hAnsi="Segoe UI" w:cs="Segoe UI"/>
          <w:sz w:val="18"/>
          <w:szCs w:val="18"/>
          <w:lang w:eastAsia="en-US"/>
        </w:rPr>
        <w:t xml:space="preserve"> отдела организации, мониторинга и контроля</w:t>
      </w:r>
    </w:p>
    <w:p w:rsidR="00C03932" w:rsidRPr="009027D3" w:rsidRDefault="00DD4B56" w:rsidP="00DD4B56">
      <w:pPr>
        <w:pStyle w:val="a6"/>
        <w:spacing w:after="0"/>
        <w:rPr>
          <w:rFonts w:ascii="Segoe UI" w:eastAsia="Calibri" w:hAnsi="Segoe UI" w:cs="Segoe UI"/>
          <w:sz w:val="18"/>
          <w:szCs w:val="18"/>
          <w:lang w:val="en-US" w:eastAsia="en-US"/>
        </w:rPr>
      </w:pPr>
      <w:r w:rsidRPr="009027D3">
        <w:rPr>
          <w:rFonts w:ascii="Segoe UI" w:eastAsia="Calibri" w:hAnsi="Segoe UI" w:cs="Segoe UI"/>
          <w:sz w:val="18"/>
          <w:szCs w:val="18"/>
          <w:lang w:val="en-US" w:eastAsia="en-US"/>
        </w:rPr>
        <w:t>b</w:t>
      </w:r>
      <w:proofErr w:type="spellStart"/>
      <w:r w:rsidRPr="009027D3">
        <w:rPr>
          <w:rFonts w:ascii="Segoe UI" w:eastAsia="Calibri" w:hAnsi="Segoe UI" w:cs="Segoe UI"/>
          <w:sz w:val="18"/>
          <w:szCs w:val="18"/>
          <w:lang w:eastAsia="en-US"/>
        </w:rPr>
        <w:t>arinov</w:t>
      </w:r>
      <w:proofErr w:type="spellEnd"/>
      <w:r w:rsidRPr="009027D3">
        <w:rPr>
          <w:rFonts w:ascii="Segoe UI" w:eastAsia="Calibri" w:hAnsi="Segoe UI" w:cs="Segoe UI"/>
          <w:sz w:val="18"/>
          <w:szCs w:val="18"/>
          <w:lang w:eastAsia="en-US"/>
        </w:rPr>
        <w:t>_</w:t>
      </w:r>
      <w:r w:rsidRPr="009027D3">
        <w:rPr>
          <w:rFonts w:ascii="Segoe UI" w:eastAsia="Calibri" w:hAnsi="Segoe UI" w:cs="Segoe UI"/>
          <w:sz w:val="18"/>
          <w:szCs w:val="18"/>
          <w:lang w:val="en-US" w:eastAsia="en-US"/>
        </w:rPr>
        <w:t>vy</w:t>
      </w:r>
      <w:r w:rsidR="00C03932" w:rsidRPr="009027D3">
        <w:rPr>
          <w:rFonts w:ascii="Segoe UI" w:eastAsia="Calibri" w:hAnsi="Segoe UI" w:cs="Segoe UI"/>
          <w:sz w:val="18"/>
          <w:szCs w:val="18"/>
          <w:lang w:val="en-US" w:eastAsia="en-US"/>
        </w:rPr>
        <w:t>@vladrosreg.ru</w:t>
      </w:r>
    </w:p>
    <w:p w:rsidR="00C03932" w:rsidRPr="009027D3" w:rsidRDefault="00C03932" w:rsidP="00DD4B56">
      <w:pPr>
        <w:pStyle w:val="a6"/>
        <w:spacing w:after="0"/>
        <w:rPr>
          <w:rFonts w:eastAsia="Calibri"/>
          <w:sz w:val="18"/>
          <w:szCs w:val="18"/>
          <w:lang w:eastAsia="en-US"/>
        </w:rPr>
      </w:pPr>
      <w:r w:rsidRPr="009027D3">
        <w:rPr>
          <w:rFonts w:ascii="Segoe UI" w:eastAsia="Calibri" w:hAnsi="Segoe UI" w:cs="Segoe UI"/>
          <w:sz w:val="18"/>
          <w:szCs w:val="18"/>
          <w:lang w:eastAsia="en-US"/>
        </w:rPr>
        <w:t>(4922) 45-08-26</w:t>
      </w:r>
    </w:p>
    <w:sectPr w:rsidR="00C03932" w:rsidRPr="009027D3" w:rsidSect="00800E11">
      <w:headerReference w:type="default" r:id="rId10"/>
      <w:footerReference w:type="default" r:id="rId11"/>
      <w:pgSz w:w="11906" w:h="16838"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F3" w:rsidRDefault="00361EF3">
      <w:r>
        <w:separator/>
      </w:r>
    </w:p>
  </w:endnote>
  <w:endnote w:type="continuationSeparator" w:id="0">
    <w:p w:rsidR="00361EF3" w:rsidRDefault="0036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F3" w:rsidRDefault="00361EF3" w:rsidP="003A4DCE">
    <w:pPr>
      <w:pStyle w:val="a3"/>
    </w:pPr>
  </w:p>
  <w:p w:rsidR="00361EF3" w:rsidRDefault="00361E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F3" w:rsidRDefault="00361EF3">
      <w:r>
        <w:separator/>
      </w:r>
    </w:p>
  </w:footnote>
  <w:footnote w:type="continuationSeparator" w:id="0">
    <w:p w:rsidR="00361EF3" w:rsidRDefault="00361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152293"/>
      <w:docPartObj>
        <w:docPartGallery w:val="Page Numbers (Top of Page)"/>
        <w:docPartUnique/>
      </w:docPartObj>
    </w:sdtPr>
    <w:sdtContent>
      <w:p w:rsidR="00800E11" w:rsidRDefault="00800E11">
        <w:pPr>
          <w:pStyle w:val="ad"/>
          <w:jc w:val="center"/>
        </w:pPr>
        <w:r>
          <w:fldChar w:fldCharType="begin"/>
        </w:r>
        <w:r>
          <w:instrText>PAGE   \* MERGEFORMAT</w:instrText>
        </w:r>
        <w:r>
          <w:fldChar w:fldCharType="separate"/>
        </w:r>
        <w:r>
          <w:rPr>
            <w:noProof/>
          </w:rPr>
          <w:t>3</w:t>
        </w:r>
        <w:r>
          <w:fldChar w:fldCharType="end"/>
        </w:r>
      </w:p>
    </w:sdtContent>
  </w:sdt>
  <w:p w:rsidR="00361EF3" w:rsidRDefault="00361EF3" w:rsidP="003A4DCE">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7">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6"/>
  </w:num>
  <w:num w:numId="6">
    <w:abstractNumId w:val="1"/>
  </w:num>
  <w:num w:numId="7">
    <w:abstractNumId w:val="2"/>
  </w:num>
  <w:num w:numId="8">
    <w:abstractNumId w:val="0"/>
  </w:num>
  <w:num w:numId="9">
    <w:abstractNumId w:val="10"/>
  </w:num>
  <w:num w:numId="10">
    <w:abstractNumId w:va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055FF"/>
    <w:rsid w:val="000140C0"/>
    <w:rsid w:val="000151CA"/>
    <w:rsid w:val="000220F2"/>
    <w:rsid w:val="00024E5B"/>
    <w:rsid w:val="000274BB"/>
    <w:rsid w:val="000339F7"/>
    <w:rsid w:val="0003642B"/>
    <w:rsid w:val="00063E44"/>
    <w:rsid w:val="0006585E"/>
    <w:rsid w:val="00065FE6"/>
    <w:rsid w:val="000673FC"/>
    <w:rsid w:val="00076FC0"/>
    <w:rsid w:val="000817F8"/>
    <w:rsid w:val="00081D6D"/>
    <w:rsid w:val="0008597C"/>
    <w:rsid w:val="00090053"/>
    <w:rsid w:val="000923C9"/>
    <w:rsid w:val="00096C94"/>
    <w:rsid w:val="000972A0"/>
    <w:rsid w:val="00097F85"/>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2CFD"/>
    <w:rsid w:val="00124E82"/>
    <w:rsid w:val="00141555"/>
    <w:rsid w:val="00145B33"/>
    <w:rsid w:val="00154C8E"/>
    <w:rsid w:val="00171CA6"/>
    <w:rsid w:val="00174A52"/>
    <w:rsid w:val="00174C7E"/>
    <w:rsid w:val="00182123"/>
    <w:rsid w:val="00186E10"/>
    <w:rsid w:val="001874B9"/>
    <w:rsid w:val="00190969"/>
    <w:rsid w:val="0019721C"/>
    <w:rsid w:val="001A410A"/>
    <w:rsid w:val="001B0762"/>
    <w:rsid w:val="001C10AF"/>
    <w:rsid w:val="001E757E"/>
    <w:rsid w:val="00200210"/>
    <w:rsid w:val="0020032A"/>
    <w:rsid w:val="00207C9A"/>
    <w:rsid w:val="002177A9"/>
    <w:rsid w:val="002208A6"/>
    <w:rsid w:val="0022193F"/>
    <w:rsid w:val="00224AF8"/>
    <w:rsid w:val="0023203E"/>
    <w:rsid w:val="00236744"/>
    <w:rsid w:val="00244BD1"/>
    <w:rsid w:val="002518A3"/>
    <w:rsid w:val="002569E9"/>
    <w:rsid w:val="00271779"/>
    <w:rsid w:val="002776C1"/>
    <w:rsid w:val="0029206B"/>
    <w:rsid w:val="00293925"/>
    <w:rsid w:val="0029733E"/>
    <w:rsid w:val="002A15AB"/>
    <w:rsid w:val="002A247A"/>
    <w:rsid w:val="002A40DB"/>
    <w:rsid w:val="002A4489"/>
    <w:rsid w:val="002A5EEE"/>
    <w:rsid w:val="002A7617"/>
    <w:rsid w:val="002B0F6A"/>
    <w:rsid w:val="002B41EE"/>
    <w:rsid w:val="002C2976"/>
    <w:rsid w:val="002D14A2"/>
    <w:rsid w:val="002D40A7"/>
    <w:rsid w:val="002D525C"/>
    <w:rsid w:val="002E4EA3"/>
    <w:rsid w:val="002F0F27"/>
    <w:rsid w:val="002F2827"/>
    <w:rsid w:val="002F56B9"/>
    <w:rsid w:val="00306F15"/>
    <w:rsid w:val="00311A90"/>
    <w:rsid w:val="0031628A"/>
    <w:rsid w:val="00317C56"/>
    <w:rsid w:val="00321306"/>
    <w:rsid w:val="00323CB8"/>
    <w:rsid w:val="003271E7"/>
    <w:rsid w:val="00331801"/>
    <w:rsid w:val="00342215"/>
    <w:rsid w:val="0035114F"/>
    <w:rsid w:val="00357644"/>
    <w:rsid w:val="003611C2"/>
    <w:rsid w:val="00361EF3"/>
    <w:rsid w:val="00361FB0"/>
    <w:rsid w:val="003675CE"/>
    <w:rsid w:val="003706A8"/>
    <w:rsid w:val="00370875"/>
    <w:rsid w:val="003716A3"/>
    <w:rsid w:val="003807C0"/>
    <w:rsid w:val="003928D8"/>
    <w:rsid w:val="003938E2"/>
    <w:rsid w:val="003A0F6B"/>
    <w:rsid w:val="003A4DCE"/>
    <w:rsid w:val="003B0301"/>
    <w:rsid w:val="003B6634"/>
    <w:rsid w:val="003B665C"/>
    <w:rsid w:val="003B71E7"/>
    <w:rsid w:val="003C2F61"/>
    <w:rsid w:val="003C3630"/>
    <w:rsid w:val="003D28DC"/>
    <w:rsid w:val="003E127A"/>
    <w:rsid w:val="003E58D9"/>
    <w:rsid w:val="003E5A48"/>
    <w:rsid w:val="003E7DE3"/>
    <w:rsid w:val="003F3EDC"/>
    <w:rsid w:val="003F4310"/>
    <w:rsid w:val="003F5A31"/>
    <w:rsid w:val="003F60DD"/>
    <w:rsid w:val="003F7A31"/>
    <w:rsid w:val="00400403"/>
    <w:rsid w:val="00400DEF"/>
    <w:rsid w:val="004032F1"/>
    <w:rsid w:val="00411504"/>
    <w:rsid w:val="0041211D"/>
    <w:rsid w:val="0041630D"/>
    <w:rsid w:val="00421F66"/>
    <w:rsid w:val="004308B6"/>
    <w:rsid w:val="00441B3F"/>
    <w:rsid w:val="00444E98"/>
    <w:rsid w:val="004500B8"/>
    <w:rsid w:val="0045130D"/>
    <w:rsid w:val="004579D9"/>
    <w:rsid w:val="00457CD0"/>
    <w:rsid w:val="00462556"/>
    <w:rsid w:val="0046539B"/>
    <w:rsid w:val="00466308"/>
    <w:rsid w:val="004705E8"/>
    <w:rsid w:val="0047070C"/>
    <w:rsid w:val="0047431C"/>
    <w:rsid w:val="0047481B"/>
    <w:rsid w:val="0047522E"/>
    <w:rsid w:val="00490C51"/>
    <w:rsid w:val="00493192"/>
    <w:rsid w:val="00497D7F"/>
    <w:rsid w:val="004A042E"/>
    <w:rsid w:val="004A052A"/>
    <w:rsid w:val="004A075A"/>
    <w:rsid w:val="004A1E24"/>
    <w:rsid w:val="004A4D47"/>
    <w:rsid w:val="004A69A5"/>
    <w:rsid w:val="004A737B"/>
    <w:rsid w:val="004B0EE8"/>
    <w:rsid w:val="004B15E1"/>
    <w:rsid w:val="004B565F"/>
    <w:rsid w:val="004D0655"/>
    <w:rsid w:val="004D0B4D"/>
    <w:rsid w:val="004D75AC"/>
    <w:rsid w:val="004D7BFA"/>
    <w:rsid w:val="004E480A"/>
    <w:rsid w:val="004E579C"/>
    <w:rsid w:val="004E60A3"/>
    <w:rsid w:val="0050145F"/>
    <w:rsid w:val="00505BE1"/>
    <w:rsid w:val="0051300A"/>
    <w:rsid w:val="00515E34"/>
    <w:rsid w:val="0051646A"/>
    <w:rsid w:val="00516989"/>
    <w:rsid w:val="00536EAA"/>
    <w:rsid w:val="00541124"/>
    <w:rsid w:val="00547D30"/>
    <w:rsid w:val="005618AD"/>
    <w:rsid w:val="00564EA5"/>
    <w:rsid w:val="005664D6"/>
    <w:rsid w:val="005842AA"/>
    <w:rsid w:val="005853C8"/>
    <w:rsid w:val="00592DFD"/>
    <w:rsid w:val="005A06F3"/>
    <w:rsid w:val="005A3345"/>
    <w:rsid w:val="005A392B"/>
    <w:rsid w:val="005A3AB6"/>
    <w:rsid w:val="005A4BB1"/>
    <w:rsid w:val="005B0B0F"/>
    <w:rsid w:val="005B3F70"/>
    <w:rsid w:val="005B48EC"/>
    <w:rsid w:val="005B5716"/>
    <w:rsid w:val="005C02ED"/>
    <w:rsid w:val="005E17D0"/>
    <w:rsid w:val="005E4BFA"/>
    <w:rsid w:val="005F026D"/>
    <w:rsid w:val="005F61FC"/>
    <w:rsid w:val="00602C9A"/>
    <w:rsid w:val="00602D6B"/>
    <w:rsid w:val="00603D9B"/>
    <w:rsid w:val="006076DD"/>
    <w:rsid w:val="00607B24"/>
    <w:rsid w:val="00611C37"/>
    <w:rsid w:val="006130E1"/>
    <w:rsid w:val="006131A2"/>
    <w:rsid w:val="006148A3"/>
    <w:rsid w:val="00620790"/>
    <w:rsid w:val="0062172C"/>
    <w:rsid w:val="006243F5"/>
    <w:rsid w:val="006257AB"/>
    <w:rsid w:val="006301F1"/>
    <w:rsid w:val="0063646D"/>
    <w:rsid w:val="00637932"/>
    <w:rsid w:val="00642C63"/>
    <w:rsid w:val="006447C0"/>
    <w:rsid w:val="006528FC"/>
    <w:rsid w:val="00653043"/>
    <w:rsid w:val="00664741"/>
    <w:rsid w:val="0066484F"/>
    <w:rsid w:val="006703E2"/>
    <w:rsid w:val="0067778D"/>
    <w:rsid w:val="00677D86"/>
    <w:rsid w:val="00685582"/>
    <w:rsid w:val="0068651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4DF2"/>
    <w:rsid w:val="006D50CA"/>
    <w:rsid w:val="006D5362"/>
    <w:rsid w:val="006E1AD4"/>
    <w:rsid w:val="006E6CCF"/>
    <w:rsid w:val="006E7C0E"/>
    <w:rsid w:val="006F3ECD"/>
    <w:rsid w:val="006F4F84"/>
    <w:rsid w:val="006F7368"/>
    <w:rsid w:val="0070210C"/>
    <w:rsid w:val="0070636F"/>
    <w:rsid w:val="0071422B"/>
    <w:rsid w:val="0071598A"/>
    <w:rsid w:val="00723E0F"/>
    <w:rsid w:val="007260F8"/>
    <w:rsid w:val="00731E62"/>
    <w:rsid w:val="00747903"/>
    <w:rsid w:val="00781E91"/>
    <w:rsid w:val="00782A90"/>
    <w:rsid w:val="007837AF"/>
    <w:rsid w:val="007926D7"/>
    <w:rsid w:val="00794A2A"/>
    <w:rsid w:val="007A1E51"/>
    <w:rsid w:val="007A49F1"/>
    <w:rsid w:val="007A5225"/>
    <w:rsid w:val="007A6A57"/>
    <w:rsid w:val="007B1335"/>
    <w:rsid w:val="007B7EDE"/>
    <w:rsid w:val="007C54C4"/>
    <w:rsid w:val="007C5DC0"/>
    <w:rsid w:val="007C6CCA"/>
    <w:rsid w:val="007D2A3B"/>
    <w:rsid w:val="007D7374"/>
    <w:rsid w:val="007D75E6"/>
    <w:rsid w:val="007F14A4"/>
    <w:rsid w:val="007F2B9F"/>
    <w:rsid w:val="007F39B3"/>
    <w:rsid w:val="007F4D1B"/>
    <w:rsid w:val="007F6754"/>
    <w:rsid w:val="00800E11"/>
    <w:rsid w:val="0080516F"/>
    <w:rsid w:val="0081433E"/>
    <w:rsid w:val="00814347"/>
    <w:rsid w:val="008161AE"/>
    <w:rsid w:val="00821FFC"/>
    <w:rsid w:val="00824E2E"/>
    <w:rsid w:val="00825A6C"/>
    <w:rsid w:val="00827C7B"/>
    <w:rsid w:val="008324E0"/>
    <w:rsid w:val="008329B6"/>
    <w:rsid w:val="00834B6D"/>
    <w:rsid w:val="008409BB"/>
    <w:rsid w:val="00850140"/>
    <w:rsid w:val="00862ADF"/>
    <w:rsid w:val="008631E9"/>
    <w:rsid w:val="00863EA9"/>
    <w:rsid w:val="00872471"/>
    <w:rsid w:val="00877565"/>
    <w:rsid w:val="0088389F"/>
    <w:rsid w:val="00883DE3"/>
    <w:rsid w:val="00884496"/>
    <w:rsid w:val="008923FF"/>
    <w:rsid w:val="00892962"/>
    <w:rsid w:val="00893935"/>
    <w:rsid w:val="00894F0F"/>
    <w:rsid w:val="00895906"/>
    <w:rsid w:val="008965E4"/>
    <w:rsid w:val="00896D9F"/>
    <w:rsid w:val="008A4F4E"/>
    <w:rsid w:val="008A551A"/>
    <w:rsid w:val="008A5643"/>
    <w:rsid w:val="008A5E5F"/>
    <w:rsid w:val="008B1775"/>
    <w:rsid w:val="008C6FB0"/>
    <w:rsid w:val="008D052C"/>
    <w:rsid w:val="008D0634"/>
    <w:rsid w:val="008E16A1"/>
    <w:rsid w:val="008E36E9"/>
    <w:rsid w:val="008E4B4A"/>
    <w:rsid w:val="008E51E3"/>
    <w:rsid w:val="0090164C"/>
    <w:rsid w:val="009027D3"/>
    <w:rsid w:val="009063D5"/>
    <w:rsid w:val="00907F6D"/>
    <w:rsid w:val="00915632"/>
    <w:rsid w:val="00917601"/>
    <w:rsid w:val="0092205D"/>
    <w:rsid w:val="00922C43"/>
    <w:rsid w:val="00923E0A"/>
    <w:rsid w:val="00924964"/>
    <w:rsid w:val="009302E6"/>
    <w:rsid w:val="0093031F"/>
    <w:rsid w:val="009316C0"/>
    <w:rsid w:val="009330FC"/>
    <w:rsid w:val="00933502"/>
    <w:rsid w:val="00941057"/>
    <w:rsid w:val="00950582"/>
    <w:rsid w:val="00957A03"/>
    <w:rsid w:val="00961833"/>
    <w:rsid w:val="00962778"/>
    <w:rsid w:val="00981BDF"/>
    <w:rsid w:val="00984A4F"/>
    <w:rsid w:val="009919BA"/>
    <w:rsid w:val="00992AA2"/>
    <w:rsid w:val="00992D82"/>
    <w:rsid w:val="0099641A"/>
    <w:rsid w:val="009A5DCA"/>
    <w:rsid w:val="009B4D15"/>
    <w:rsid w:val="009C0ABC"/>
    <w:rsid w:val="009C38AA"/>
    <w:rsid w:val="009C4852"/>
    <w:rsid w:val="009C7787"/>
    <w:rsid w:val="009D2F16"/>
    <w:rsid w:val="009E1F59"/>
    <w:rsid w:val="009E7840"/>
    <w:rsid w:val="009F3506"/>
    <w:rsid w:val="009F6293"/>
    <w:rsid w:val="009F7CD0"/>
    <w:rsid w:val="00A02B97"/>
    <w:rsid w:val="00A179D4"/>
    <w:rsid w:val="00A25EF1"/>
    <w:rsid w:val="00A30CD1"/>
    <w:rsid w:val="00A30DF1"/>
    <w:rsid w:val="00A35DCC"/>
    <w:rsid w:val="00A40F22"/>
    <w:rsid w:val="00A419FB"/>
    <w:rsid w:val="00A500A0"/>
    <w:rsid w:val="00A526C5"/>
    <w:rsid w:val="00A52C58"/>
    <w:rsid w:val="00A54DEC"/>
    <w:rsid w:val="00A550FE"/>
    <w:rsid w:val="00A62FE5"/>
    <w:rsid w:val="00A637B5"/>
    <w:rsid w:val="00A75297"/>
    <w:rsid w:val="00A75D32"/>
    <w:rsid w:val="00A80937"/>
    <w:rsid w:val="00A8257D"/>
    <w:rsid w:val="00A85BD7"/>
    <w:rsid w:val="00A87657"/>
    <w:rsid w:val="00A93B34"/>
    <w:rsid w:val="00AC080F"/>
    <w:rsid w:val="00AC17CA"/>
    <w:rsid w:val="00AC22FD"/>
    <w:rsid w:val="00AD0345"/>
    <w:rsid w:val="00AD20AD"/>
    <w:rsid w:val="00AD257E"/>
    <w:rsid w:val="00AE4170"/>
    <w:rsid w:val="00AE4B27"/>
    <w:rsid w:val="00AF11D6"/>
    <w:rsid w:val="00AF36C9"/>
    <w:rsid w:val="00AF48CD"/>
    <w:rsid w:val="00B05DCE"/>
    <w:rsid w:val="00B10655"/>
    <w:rsid w:val="00B11A3E"/>
    <w:rsid w:val="00B12395"/>
    <w:rsid w:val="00B144AF"/>
    <w:rsid w:val="00B176BA"/>
    <w:rsid w:val="00B21D2D"/>
    <w:rsid w:val="00B3093A"/>
    <w:rsid w:val="00B316E9"/>
    <w:rsid w:val="00B410BF"/>
    <w:rsid w:val="00B47FAD"/>
    <w:rsid w:val="00B51E7F"/>
    <w:rsid w:val="00B531CD"/>
    <w:rsid w:val="00B56D31"/>
    <w:rsid w:val="00B62252"/>
    <w:rsid w:val="00B62FD8"/>
    <w:rsid w:val="00B67940"/>
    <w:rsid w:val="00B71DB4"/>
    <w:rsid w:val="00B76A21"/>
    <w:rsid w:val="00B8165F"/>
    <w:rsid w:val="00B900FB"/>
    <w:rsid w:val="00B93257"/>
    <w:rsid w:val="00B93305"/>
    <w:rsid w:val="00B93CEB"/>
    <w:rsid w:val="00B94391"/>
    <w:rsid w:val="00BA4C23"/>
    <w:rsid w:val="00BB5741"/>
    <w:rsid w:val="00BB7599"/>
    <w:rsid w:val="00BC4833"/>
    <w:rsid w:val="00BD483A"/>
    <w:rsid w:val="00BD5312"/>
    <w:rsid w:val="00BE4B58"/>
    <w:rsid w:val="00BE4BFF"/>
    <w:rsid w:val="00BE79D6"/>
    <w:rsid w:val="00BF6655"/>
    <w:rsid w:val="00C01999"/>
    <w:rsid w:val="00C026D4"/>
    <w:rsid w:val="00C03932"/>
    <w:rsid w:val="00C05C40"/>
    <w:rsid w:val="00C11D19"/>
    <w:rsid w:val="00C151D4"/>
    <w:rsid w:val="00C2000B"/>
    <w:rsid w:val="00C200DA"/>
    <w:rsid w:val="00C21412"/>
    <w:rsid w:val="00C21C96"/>
    <w:rsid w:val="00C23E26"/>
    <w:rsid w:val="00C25627"/>
    <w:rsid w:val="00C257D3"/>
    <w:rsid w:val="00C35B57"/>
    <w:rsid w:val="00C40310"/>
    <w:rsid w:val="00C407D7"/>
    <w:rsid w:val="00C412A4"/>
    <w:rsid w:val="00C45896"/>
    <w:rsid w:val="00C46E86"/>
    <w:rsid w:val="00C57BE0"/>
    <w:rsid w:val="00C70BC7"/>
    <w:rsid w:val="00C75216"/>
    <w:rsid w:val="00C91719"/>
    <w:rsid w:val="00CA5B20"/>
    <w:rsid w:val="00CB1D95"/>
    <w:rsid w:val="00CB531F"/>
    <w:rsid w:val="00CC09FF"/>
    <w:rsid w:val="00CC19E6"/>
    <w:rsid w:val="00CC1A4F"/>
    <w:rsid w:val="00CD127C"/>
    <w:rsid w:val="00CD5483"/>
    <w:rsid w:val="00CD71C5"/>
    <w:rsid w:val="00CE13B8"/>
    <w:rsid w:val="00CE255C"/>
    <w:rsid w:val="00CF2EA8"/>
    <w:rsid w:val="00D0068B"/>
    <w:rsid w:val="00D04EF6"/>
    <w:rsid w:val="00D05B5E"/>
    <w:rsid w:val="00D163B8"/>
    <w:rsid w:val="00D16DB9"/>
    <w:rsid w:val="00D179DC"/>
    <w:rsid w:val="00D25644"/>
    <w:rsid w:val="00D32543"/>
    <w:rsid w:val="00D37D78"/>
    <w:rsid w:val="00D4167F"/>
    <w:rsid w:val="00D4581F"/>
    <w:rsid w:val="00D47707"/>
    <w:rsid w:val="00D54C33"/>
    <w:rsid w:val="00D70A6D"/>
    <w:rsid w:val="00D82F22"/>
    <w:rsid w:val="00D8573F"/>
    <w:rsid w:val="00D91EE2"/>
    <w:rsid w:val="00D94786"/>
    <w:rsid w:val="00D95FBE"/>
    <w:rsid w:val="00DB1A05"/>
    <w:rsid w:val="00DB6445"/>
    <w:rsid w:val="00DC39AF"/>
    <w:rsid w:val="00DC5CDA"/>
    <w:rsid w:val="00DC6E8F"/>
    <w:rsid w:val="00DD0360"/>
    <w:rsid w:val="00DD0C4A"/>
    <w:rsid w:val="00DD18AC"/>
    <w:rsid w:val="00DD4B56"/>
    <w:rsid w:val="00DD6298"/>
    <w:rsid w:val="00DF0CBC"/>
    <w:rsid w:val="00DF284C"/>
    <w:rsid w:val="00DF2F38"/>
    <w:rsid w:val="00DF3508"/>
    <w:rsid w:val="00DF37EF"/>
    <w:rsid w:val="00DF5646"/>
    <w:rsid w:val="00DF621A"/>
    <w:rsid w:val="00E00A52"/>
    <w:rsid w:val="00E04A1D"/>
    <w:rsid w:val="00E10B85"/>
    <w:rsid w:val="00E1142D"/>
    <w:rsid w:val="00E16ED2"/>
    <w:rsid w:val="00E17A52"/>
    <w:rsid w:val="00E22CE2"/>
    <w:rsid w:val="00E23BAC"/>
    <w:rsid w:val="00E2401A"/>
    <w:rsid w:val="00E25BBC"/>
    <w:rsid w:val="00E3283A"/>
    <w:rsid w:val="00E3308B"/>
    <w:rsid w:val="00E426DA"/>
    <w:rsid w:val="00E65126"/>
    <w:rsid w:val="00E71572"/>
    <w:rsid w:val="00E73874"/>
    <w:rsid w:val="00E76E4A"/>
    <w:rsid w:val="00E84CC2"/>
    <w:rsid w:val="00E85462"/>
    <w:rsid w:val="00E8742D"/>
    <w:rsid w:val="00E90875"/>
    <w:rsid w:val="00E92417"/>
    <w:rsid w:val="00E93DF6"/>
    <w:rsid w:val="00E95315"/>
    <w:rsid w:val="00E978C3"/>
    <w:rsid w:val="00EA1E39"/>
    <w:rsid w:val="00EA4A6C"/>
    <w:rsid w:val="00EB0995"/>
    <w:rsid w:val="00EB2484"/>
    <w:rsid w:val="00EB5607"/>
    <w:rsid w:val="00EC4847"/>
    <w:rsid w:val="00EC4E8A"/>
    <w:rsid w:val="00ED3639"/>
    <w:rsid w:val="00ED38A6"/>
    <w:rsid w:val="00EF3B27"/>
    <w:rsid w:val="00EF5CD8"/>
    <w:rsid w:val="00EF60BA"/>
    <w:rsid w:val="00F025EB"/>
    <w:rsid w:val="00F03AFD"/>
    <w:rsid w:val="00F05946"/>
    <w:rsid w:val="00F13FC1"/>
    <w:rsid w:val="00F144DE"/>
    <w:rsid w:val="00F15056"/>
    <w:rsid w:val="00F221F8"/>
    <w:rsid w:val="00F33805"/>
    <w:rsid w:val="00F3383E"/>
    <w:rsid w:val="00F3659C"/>
    <w:rsid w:val="00F412F3"/>
    <w:rsid w:val="00F42DF0"/>
    <w:rsid w:val="00F500EE"/>
    <w:rsid w:val="00F51433"/>
    <w:rsid w:val="00F57CCF"/>
    <w:rsid w:val="00F61E82"/>
    <w:rsid w:val="00F62C8C"/>
    <w:rsid w:val="00F64544"/>
    <w:rsid w:val="00F9743A"/>
    <w:rsid w:val="00FA3AAB"/>
    <w:rsid w:val="00FA3DAB"/>
    <w:rsid w:val="00FA4276"/>
    <w:rsid w:val="00FA5BD4"/>
    <w:rsid w:val="00FC4F34"/>
    <w:rsid w:val="00FD0440"/>
    <w:rsid w:val="00FD4188"/>
    <w:rsid w:val="00FE0768"/>
    <w:rsid w:val="00FE2596"/>
    <w:rsid w:val="00FF055F"/>
    <w:rsid w:val="00FF0F6D"/>
    <w:rsid w:val="00FF3FE5"/>
    <w:rsid w:val="00FF61A9"/>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western">
    <w:name w:val="western"/>
    <w:basedOn w:val="a"/>
    <w:rsid w:val="00E25BBC"/>
    <w:pPr>
      <w:widowControl/>
      <w:suppressAutoHyphens w:val="0"/>
      <w:spacing w:before="100" w:beforeAutospacing="1" w:after="100" w:afterAutospacing="1"/>
    </w:pPr>
    <w:rPr>
      <w:rFonts w:eastAsia="Times New Roman" w:cs="Times New Roman"/>
      <w:kern w:val="0"/>
      <w:lang w:eastAsia="ru-RU" w:bidi="ar-SA"/>
    </w:rPr>
  </w:style>
  <w:style w:type="paragraph" w:customStyle="1" w:styleId="Default">
    <w:name w:val="Default"/>
    <w:rsid w:val="002B41EE"/>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40378969">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4835702">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211527604">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00639234">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6A7D1-843A-4618-B843-A04239B6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963</Words>
  <Characters>5492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Потехина Мария Алексеевна</cp:lastModifiedBy>
  <cp:revision>68</cp:revision>
  <cp:lastPrinted>2018-11-26T08:41:00Z</cp:lastPrinted>
  <dcterms:created xsi:type="dcterms:W3CDTF">2016-11-15T13:52:00Z</dcterms:created>
  <dcterms:modified xsi:type="dcterms:W3CDTF">2018-11-26T08:43:00Z</dcterms:modified>
</cp:coreProperties>
</file>